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t xml:space="preserve">Пояснительная записка</w:t>
      </w:r>
      <w:r>
        <w:rPr>
          <w:b/>
          <w:bCs/>
          <w:caps/>
          <w:sz w:val="28"/>
          <w:szCs w:val="28"/>
        </w:rPr>
      </w:r>
    </w:p>
    <w:p>
      <w:pPr>
        <w:ind w:left="283" w:right="283"/>
        <w:jc w:val="center"/>
        <w:spacing w:before="283"/>
        <w:rPr>
          <w:b/>
          <w:bCs/>
        </w:rPr>
      </w:pPr>
      <w:r>
        <w:rPr>
          <w:b/>
          <w:bCs/>
        </w:rPr>
        <w:t xml:space="preserve">Монтаж автоматических противопожарных систем в клиентских офисах</w:t>
      </w:r>
      <w:r>
        <w:rPr>
          <w:b/>
          <w:bCs/>
        </w:rPr>
      </w:r>
    </w:p>
    <w:p>
      <w:pPr>
        <w:jc w:val="center"/>
        <w:spacing w:before="113"/>
        <w:rPr>
          <w:b/>
          <w:bCs/>
        </w:rPr>
      </w:pPr>
      <w:r>
        <w:rPr>
          <w:b/>
          <w:bCs/>
        </w:rPr>
        <w:t xml:space="preserve">Код проекта - 15.01.10045</w:t>
      </w:r>
      <w:r>
        <w:rPr>
          <w:b/>
          <w:bCs/>
        </w:rPr>
      </w:r>
    </w:p>
    <w:p>
      <w:pPr>
        <w:pStyle w:val="12"/>
        <w:numPr>
          <w:ilvl w:val="0"/>
          <w:numId w:val="1"/>
        </w:numPr>
      </w:pPr>
      <w:r>
        <w:t xml:space="preserve">ОПИСАНИЕ ИПКВ</w:t>
      </w:r>
      <w:r/>
    </w:p>
    <w:p>
      <w:pPr>
        <w:pStyle w:val="14"/>
        <w:numPr>
          <w:ilvl w:val="1"/>
          <w:numId w:val="1"/>
        </w:numPr>
      </w:pPr>
      <w:r>
        <w:t xml:space="preserve">Объект вложения средств</w:t>
      </w:r>
      <w:r/>
    </w:p>
    <w:p>
      <w:r>
        <w:t xml:space="preserve">АО "Петербургская сбытовая компания"</w:t>
      </w:r>
      <w:r/>
    </w:p>
    <w:p>
      <w:pPr>
        <w:spacing w:before="283" w:after="283"/>
        <w:rPr>
          <w:b/>
          <w:bCs/>
        </w:rPr>
      </w:pPr>
      <w:r>
        <w:rPr>
          <w:b/>
          <w:bCs/>
        </w:rPr>
        <w:t xml:space="preserve">Объект ОС:</w:t>
      </w:r>
      <w:r>
        <w:rPr>
          <w:b/>
          <w:bCs/>
        </w:rPr>
      </w:r>
    </w:p>
    <w:p>
      <w:r>
        <w:t xml:space="preserve">Автоматические противопожарные системы в Гатчинском и Тихвинском отделениях</w:t>
      </w:r>
      <w:r/>
    </w:p>
    <w:p>
      <w:pPr>
        <w:pStyle w:val="14"/>
        <w:numPr>
          <w:ilvl w:val="1"/>
          <w:numId w:val="1"/>
        </w:numPr>
      </w:pPr>
      <w:r>
        <w:t xml:space="preserve">Предпосылки / необходимость реализации ИПКВ </w:t>
      </w:r>
      <w:r/>
    </w:p>
    <w:p>
      <w:r>
        <w:t xml:space="preserve">Приобретение и монтаж автоматических противопожарных систем в Гатчинском и Тихвинском отделениях АО «ПСК» проводится в соответствии с требованиями Федеральный закон "О пожарной безопасности" от 21.12.1994 N 69-ФЗ, Федерального закона "Технический регламент о требованиях пожарной безопасности" от 22.07.2008 N 123-ФЗ, Федерального закона от 21 декабря 1994 г. № 68-ФЗ «О защите населения и территорий от чрезвычайных ситуаций природного и техногенного характера». Необходимость реализации проекта возникла в связи с тем, что имеющиеся противопожарные системы (инв. № 00345596)  выработали установленный ресурс 10 лет (введены в эксплуатацию в 2010).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клиентского офиса находится в собственности АО «ПСК».</w:t>
      </w:r>
      <w:r/>
    </w:p>
    <w:p>
      <w:pPr>
        <w:pStyle w:val="14"/>
        <w:numPr>
          <w:ilvl w:val="1"/>
          <w:numId w:val="1"/>
        </w:numPr>
      </w:pPr>
      <w:r>
        <w:t xml:space="preserve">Цель ИПКВ</w:t>
      </w:r>
      <w:r/>
    </w:p>
    <w:p>
      <w:r>
        <w:t xml:space="preserve">Противопожарная защита объектов, сотрудников и клиентов компании, имущества АО «Петербургская сбытовая компания» и возникновения чрезвычайных ситуаций, обеспечение устойчивой и бесперебойной работы противопожарных систем.</w:t>
      </w:r>
      <w:r/>
    </w:p>
    <w:p>
      <w:pPr>
        <w:pStyle w:val="14"/>
        <w:numPr>
          <w:ilvl w:val="1"/>
          <w:numId w:val="1"/>
        </w:numPr>
      </w:pPr>
      <w:r>
        <w:t xml:space="preserve">Сопутствующие эффекты ИПКВ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  <w:tab/>
        <w:t xml:space="preserve">повышение энергоэффективности и энергосбережения производства; 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ab/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повышение пожарной безопасности.</w:t>
      </w: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Технические решения ИПКВ</w:t>
      </w:r>
      <w:r/>
    </w:p>
    <w:p>
      <w:r>
        <w:rPr>
          <w:rFonts w:hint="default" w:ascii="Times New Roman" w:hAnsi="Times New Roman" w:eastAsia="Times New Roman" w:cs="Times New Roman"/>
          <w:sz w:val="24"/>
        </w:rPr>
        <w:t xml:space="preserve">В течение 2025 года в рамках проекта планируются выполнить работы по монтажу</w:t>
      </w:r>
      <w:r>
        <w:t xml:space="preserve"> пожарной сигнализации и системы оповещения и управления эвакуацией (СОУЭ) в помещениях Гатчинского ОСЭ по адресу: Ленинградская область, г. Гатчина, ул. Старая дорога, д.2 и Тихвинского ОСЭ по адресу: Ленинградская область, г. Тихвин, 1А. </w:t>
      </w:r>
      <w:r/>
    </w:p>
    <w:p>
      <w:r>
        <w:t xml:space="preserve">Перехода реализации между годами  (финансирования, освоения и ввода) не предусмотрено. </w:t>
      </w:r>
      <w:r/>
    </w:p>
    <w:p>
      <w:pPr>
        <w:rPr>
          <w:sz w:val="26"/>
          <w:szCs w:val="26"/>
        </w:rPr>
      </w:pPr>
      <w:r>
        <w:rPr>
          <w:rFonts w:hint="default" w:ascii="Times New Roman" w:hAnsi="Times New Roman" w:eastAsia="Times New Roman" w:cs="Times New Roman"/>
          <w:sz w:val="24"/>
        </w:rPr>
        <w:t xml:space="preserve">Реализация проекта запланирована на базе отечественных программно-аппаратных комплексов пожарной безопасности, применение иностранного оборудования в рамках предлагаемых технических решений итогового варианта проводится исключительно при отсутствии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  <w:r>
        <w:rPr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Дополнительная информация</w:t>
      </w:r>
      <w:r/>
    </w:p>
    <w:p>
      <w:r>
        <w:t xml:space="preserve">Данный ИПКВ не включён в стратегические документы компании, а также не связан с другими проектами.</w:t>
      </w:r>
      <w:r/>
    </w:p>
    <w:p>
      <w:pPr>
        <w:pStyle w:val="12"/>
        <w:numPr>
          <w:ilvl w:val="0"/>
          <w:numId w:val="1"/>
        </w:numPr>
      </w:pPr>
      <w:r>
        <w:t xml:space="preserve">ОБЪЕМ, СРОКИ И ЗАТРАТЫ ИПКВ</w:t>
      </w:r>
      <w:r/>
    </w:p>
    <w:p>
      <w:pPr>
        <w:pStyle w:val="632"/>
      </w:pPr>
      <w:r>
        <w:t xml:space="preserve">Начало выполнения работ - 2 квартал 2025 г.</w:t>
      </w:r>
      <w:r/>
    </w:p>
    <w:p>
      <w:pPr>
        <w:pStyle w:val="632"/>
        <w:spacing w:before="57"/>
      </w:pPr>
      <w:r>
        <w:t xml:space="preserve">Завершение работ - 4 квартал 2025 г.</w:t>
      </w:r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1.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Освоение: тыс. единиц национальной валюты без НДС</w:t>
      </w:r>
      <w:r>
        <w:rPr>
          <w:sz w:val="22"/>
          <w:szCs w:val="22"/>
        </w:rPr>
      </w:r>
    </w:p>
    <w:tbl>
      <w:tblPr>
        <w:tblStyle w:val="755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56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56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56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56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56"/>
            </w:pPr>
            <w:r/>
            <w:r>
              <w:t xml:space="preserve">Итого без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778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778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2 697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2 697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674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674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8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7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4 149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7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4 149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2.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Финансирование: тыс. единиц национальной валюты с НДС</w:t>
      </w:r>
      <w:r>
        <w:rPr>
          <w:sz w:val="22"/>
          <w:szCs w:val="22"/>
        </w:rPr>
      </w:r>
    </w:p>
    <w:tbl>
      <w:tblPr>
        <w:tblStyle w:val="755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56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56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56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56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56"/>
            </w:pPr>
            <w:r/>
            <w:r>
              <w:t xml:space="preserve">Итого с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934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934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3 237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3 237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58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809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57"/>
            </w:pPr>
            <w:r/>
            <w:r>
              <w:t xml:space="preserve">809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58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57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4 980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57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4 980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3.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Ключевые контрольные точки</w:t>
      </w:r>
      <w:r>
        <w:rPr>
          <w:sz w:val="22"/>
          <w:szCs w:val="22"/>
        </w:rPr>
      </w:r>
    </w:p>
    <w:tbl>
      <w:tblPr>
        <w:tblStyle w:val="755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>
        <w:trPr/>
        <w:tc>
          <w:tcPr>
            <w:gridSpan w:val="3"/>
            <w:textDirection w:val="lrTb"/>
            <w:noWrap w:val="false"/>
          </w:tcPr>
          <w:p>
            <w:pPr>
              <w:pStyle w:val="756"/>
            </w:pPr>
            <w:r/>
            <w:r>
              <w:t xml:space="preserve">КЛЮЧЕВЫЕ КОНТРОЛЬНЫЕ ТОЧКИ</w:t>
            </w:r>
            <w:r/>
          </w:p>
        </w:tc>
      </w:tr>
      <w:tr>
        <w:trPr/>
        <w:tc>
          <w:tcPr>
            <w:textDirection w:val="lrTb"/>
            <w:noWrap w:val="false"/>
          </w:tcPr>
          <w:p>
            <w:pPr>
              <w:pStyle w:val="756"/>
            </w:pPr>
            <w:r/>
            <w:r>
              <w:t xml:space="preserve">Название контрольной точки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56"/>
            </w:pPr>
            <w:r/>
            <w:r>
              <w:t xml:space="preserve">Ответственный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56"/>
            </w:pPr>
            <w:r/>
            <w:r>
              <w:t xml:space="preserve">Плановая дата</w:t>
            </w:r>
            <w:r/>
          </w:p>
        </w:tc>
      </w:tr>
    </w:tbl>
    <w:p>
      <w:r/>
    </w:p>
    <w:p>
      <w:pPr>
        <w:pStyle w:val="12"/>
        <w:numPr>
          <w:ilvl w:val="0"/>
          <w:numId w:val="1"/>
        </w:numPr>
      </w:pPr>
      <w:r>
        <w:t xml:space="preserve">КОНТАКТНОЕ ЛИЦО</w:t>
      </w:r>
      <w:r/>
    </w:p>
    <w:p>
      <w:pPr>
        <w:pStyle w:val="632"/>
        <w:spacing w:before="283" w:after="113"/>
      </w:pPr>
      <w:r>
        <w:t xml:space="preserve"> - Куратор ИПКВ:   </w:t>
      </w:r>
      <w:r/>
    </w:p>
    <w:p>
      <w:pPr>
        <w:pStyle w:val="632"/>
        <w:spacing w:before="283" w:after="113"/>
      </w:pPr>
      <w:r>
        <w:t xml:space="preserve"> - Единое ответственное лицо ИПКВ:   </w:t>
      </w:r>
      <w:r/>
    </w:p>
    <w:p>
      <w:pPr>
        <w:pStyle w:val="632"/>
        <w:spacing w:before="283" w:after="113"/>
      </w:pPr>
      <w:r>
        <w:t xml:space="preserve"> - Заказчик ИПКВ:   </w:t>
      </w:r>
      <w:r/>
    </w:p>
    <w:p>
      <w:pPr>
        <w:pStyle w:val="632"/>
        <w:spacing w:before="283" w:after="113"/>
      </w:pPr>
      <w:r>
        <w:t xml:space="preserve"> - Инициатор ИПКВ: Руководитель направления по инженерно-техническим системам охраны Петербургская сбытовая компания Артемьев Дмитрий Владиславович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B0603020202020204"/>
  </w:font>
  <w:font w:name="Cambria">
    <w:panose1 w:val="02060603050605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fldSimple w:instr="PAGE \* MERGEFORMAT">
      <w:r>
        <w:t xml:space="preserve">1</w:t>
      </w:r>
    </w:fldSimple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 "/>
      <w:lvlJc w:val="left"/>
      <w:pPr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ind w:left="142" w:firstLine="0"/>
      <w:keepLines/>
      <w:keepNext/>
      <w:spacing w:before="567" w:after="255" w:line="240" w:lineRule="auto"/>
      <w:outlineLvl w:val="0"/>
    </w:pPr>
    <w:rPr>
      <w:rFonts w:hint="default" w:ascii="Arial" w:hAnsi="Arial" w:eastAsia="Arial" w:cs="Arial"/>
      <w:b/>
      <w:sz w:val="28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ind w:left="142" w:firstLine="0"/>
      <w:keepLines/>
      <w:keepNext/>
      <w:spacing w:before="482" w:after="198" w:line="140" w:lineRule="auto"/>
      <w:outlineLvl w:val="1"/>
    </w:pPr>
    <w:rPr>
      <w:rFonts w:hint="default" w:ascii="Arial" w:hAnsi="Arial" w:eastAsia="Arial" w:cs="Arial"/>
      <w:b/>
      <w:sz w:val="2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firstLine="283"/>
      <w:spacing w:before="0" w:after="0" w:line="240" w:lineRule="auto"/>
    </w:pPr>
    <w:rPr>
      <w:rFonts w:hint="default" w:ascii="Arial" w:hAnsi="Arial" w:eastAsia="Arial" w:cs="Arial"/>
      <w:sz w:val="24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632">
    <w:name w:val="Normal paragraph"/>
    <w:basedOn w:val="598"/>
    <w:uiPriority w:val="1"/>
    <w:qFormat/>
    <w:pPr>
      <w:spacing w:before="170"/>
    </w:pPr>
  </w:style>
  <w:style w:type="table" w:styleId="755">
    <w:name w:val="Таблица 1"/>
    <w:uiPriority w:val="1"/>
    <w:qFormat/>
    <w:tblPr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tcMar>
        <w:left w:w="85" w:type="dxa"/>
        <w:top w:w="91" w:type="dxa"/>
        <w:right w:w="85" w:type="dxa"/>
        <w:bottom w:w="91" w:type="dxa"/>
      </w:tcMar>
      <w:vAlign w:val="center"/>
    </w:tcPr>
  </w:style>
  <w:style w:type="paragraph" w:styleId="756">
    <w:name w:val="Таблица 1. Заголовок"/>
    <w:uiPriority w:val="1"/>
    <w:qFormat/>
    <w:pPr>
      <w:ind w:left="0" w:right="0"/>
      <w:jc w:val="center"/>
      <w:spacing w:after="0" w:line="240" w:lineRule="auto"/>
    </w:pPr>
    <w:rPr>
      <w:rFonts w:hint="default" w:ascii="Arial" w:hAnsi="Arial" w:eastAsia="Arial" w:cs="Arial"/>
      <w:b/>
      <w:sz w:val="20"/>
    </w:rPr>
  </w:style>
  <w:style w:type="paragraph" w:styleId="757">
    <w:name w:val="Таблица 1. Число"/>
    <w:basedOn w:val="756"/>
    <w:uiPriority w:val="1"/>
    <w:qFormat/>
    <w:pPr>
      <w:jc w:val="right"/>
    </w:pPr>
    <w:rPr/>
  </w:style>
  <w:style w:type="paragraph" w:styleId="758">
    <w:name w:val="Таблица 1. Строка"/>
    <w:basedOn w:val="756"/>
    <w:uiPriority w:val="1"/>
    <w:qFormat/>
    <w:pPr>
      <w:jc w:val="left"/>
    </w:pPr>
    <w:r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2024-10-10T06:39:50Z</dcterms:modified>
</cp:coreProperties>
</file>